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7lj5gkuri3ty" w:id="0"/>
      <w:bookmarkEnd w:id="0"/>
      <w:r w:rsidDel="00000000" w:rsidR="00000000" w:rsidRPr="00000000">
        <w:rPr>
          <w:rtl w:val="0"/>
        </w:rPr>
        <w:t xml:space="preserve">Бриф на интеграцию Битрикс24 с другими системами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Заполните Бриф, сохраните и отправьте на электронный адрес, указанный в конце документа.</w:t>
      </w:r>
    </w:p>
    <w:tbl>
      <w:tblPr>
        <w:tblStyle w:val="Table1"/>
        <w:tblW w:w="1020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.5"/>
        <w:gridCol w:w="5103.5"/>
        <w:tblGridChange w:id="0">
          <w:tblGrid>
            <w:gridCol w:w="5103.5"/>
            <w:gridCol w:w="5103.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Бизнес-задача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Какую задачу мы решаем?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Например «Хотим повысить эффективность менеджеров, за счёт уменьшения переключений между системами».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Какие сроки решения допустимы?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Какой бюджет у вас запланирован на эту задачу?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Битрикс24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 вас облачный или коробочный битрикс24?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Если облачный, то какой тариф?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Если коробочный, то сохранилась ли возможность обновлений?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Система, с которой интегрируемся</w:t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Укажите платформу и версию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Например 1С Управление торговлей 11.3.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Есть ли у вас специалисты, которые могут выполнить работы со стороны этой системы, если понадобится?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Описание обмена</w:t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Какие сущности нужно передать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Например, заказы и контрагентов.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Какой набор характеристик этих сущностей также должен передаваться?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Например, сумма заказа или реквизиты контрагента.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каких направлениях должен происходить обмен?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Например, из 1С в Битрикс24. Учтите, что двухсторонний обмен в разы сложнее (и дороже), чем односторонний.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 часто должен происходить обмен?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Обмен в режиме реального времени или по факту наступления события сложнее, чем обмен по расписанию.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Какой объём данных передаётся при обмене?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Достаточно указать примерное количество элементов (100 заказов в день и т.д.).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Если происходит обмен несколькими сущностями, то нужно ли сохранять между ними связь?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Например, передавать заказы в привязке к контрагенту.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Есть ли у вас уже реализованная интеграция с данной системой?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Есть ли другие интеграции, связанные с сущностями, которыми мы планируем обмениваться? 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Например, обмен заказами с интернет-магазином может быть связан с обменом заказами с 1С.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Дополнительные комментарии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100.0" w:type="pct"/>
        <w:tblLayout w:type="fixed"/>
        <w:tblLook w:val="0600"/>
      </w:tblPr>
      <w:tblGrid>
        <w:gridCol w:w="2880"/>
        <w:gridCol w:w="2505"/>
        <w:gridCol w:w="4710"/>
        <w:tblGridChange w:id="0">
          <w:tblGrid>
            <w:gridCol w:w="2880"/>
            <w:gridCol w:w="2505"/>
            <w:gridCol w:w="47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0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cc0000"/>
                <w:sz w:val="20"/>
                <w:szCs w:val="20"/>
                <w:rtl w:val="0"/>
              </w:rPr>
              <w:t xml:space="preserve">Антон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Колодницкий, руководитель отдела интранет-систем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+7 (960) 896-96-80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ak@intervolga.ru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200"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57500" cy="4191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8" w:w="11906"/>
      <w:pgMar w:bottom="566.9291338582677" w:top="566.9291338582677" w:left="1133.8582677165355" w:right="566.929133858267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ind w:right="-566.9291338582684" w:hanging="1133.8582677165355"/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-733424</wp:posOffset>
          </wp:positionH>
          <wp:positionV relativeFrom="paragraph">
            <wp:posOffset>19050</wp:posOffset>
          </wp:positionV>
          <wp:extent cx="7573062" cy="1071563"/>
          <wp:effectExtent b="0" l="0" r="0" t="0"/>
          <wp:wrapSquare wrapText="bothSides" distB="0" distT="0" distL="0" distR="0"/>
          <wp:docPr descr="iv_header_2_mini.png" id="1" name="image3.png"/>
          <a:graphic>
            <a:graphicData uri="http://schemas.openxmlformats.org/drawingml/2006/picture">
              <pic:pic>
                <pic:nvPicPr>
                  <pic:cNvPr descr="iv_header_2_mini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3062" cy="1071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ak@intervolga.ru" TargetMode="Externa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